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CF0E" w14:textId="77777777" w:rsidR="00F0621D" w:rsidRPr="005C2AEE" w:rsidRDefault="00F0621D" w:rsidP="005C2AEE">
      <w:pPr>
        <w:spacing w:line="240" w:lineRule="auto"/>
        <w:rPr>
          <w:rFonts w:ascii="Arial Narrow" w:hAnsi="Arial Narrow"/>
          <w:sz w:val="20"/>
          <w:szCs w:val="20"/>
        </w:rPr>
      </w:pPr>
    </w:p>
    <w:p w14:paraId="1CEFAB8A" w14:textId="294B6EB6" w:rsidR="00B033F1" w:rsidRPr="005C70A4" w:rsidRDefault="009B7462" w:rsidP="005C2AE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5C70A4">
        <w:rPr>
          <w:rFonts w:ascii="Arial Narrow" w:hAnsi="Arial Narrow"/>
          <w:sz w:val="26"/>
          <w:szCs w:val="26"/>
        </w:rPr>
        <w:t xml:space="preserve">Šis STEAM projektas apibendrina, įprasmina ir įtvirtina pamokas apie </w:t>
      </w:r>
      <w:r w:rsidR="005772FF" w:rsidRPr="005C70A4">
        <w:rPr>
          <w:rFonts w:ascii="Arial Narrow" w:hAnsi="Arial Narrow"/>
          <w:sz w:val="26"/>
          <w:szCs w:val="26"/>
        </w:rPr>
        <w:t>augalus</w:t>
      </w:r>
      <w:r w:rsidR="00B82B69" w:rsidRPr="005C70A4">
        <w:rPr>
          <w:rFonts w:ascii="Arial Narrow" w:hAnsi="Arial Narrow"/>
          <w:sz w:val="26"/>
          <w:szCs w:val="26"/>
        </w:rPr>
        <w:t>, jų dalis</w:t>
      </w:r>
      <w:r w:rsidR="005772FF" w:rsidRPr="005C70A4">
        <w:rPr>
          <w:rFonts w:ascii="Arial Narrow" w:hAnsi="Arial Narrow"/>
          <w:sz w:val="26"/>
          <w:szCs w:val="26"/>
        </w:rPr>
        <w:t xml:space="preserve"> ir savybes (</w:t>
      </w:r>
      <w:proofErr w:type="spellStart"/>
      <w:r w:rsidR="003E67D9" w:rsidRPr="005C70A4">
        <w:rPr>
          <w:rFonts w:ascii="Arial Narrow" w:hAnsi="Arial Narrow"/>
          <w:sz w:val="26"/>
          <w:szCs w:val="26"/>
        </w:rPr>
        <w:t>vaistažoliniai</w:t>
      </w:r>
      <w:proofErr w:type="spellEnd"/>
      <w:r w:rsidR="003E67D9" w:rsidRPr="005C70A4">
        <w:rPr>
          <w:rFonts w:ascii="Arial Narrow" w:hAnsi="Arial Narrow"/>
          <w:sz w:val="26"/>
          <w:szCs w:val="26"/>
        </w:rPr>
        <w:t xml:space="preserve"> augalai ir jų savybės). Šios veiklos metu mokiniai </w:t>
      </w:r>
      <w:r w:rsidR="0006259B" w:rsidRPr="005C70A4">
        <w:rPr>
          <w:rFonts w:ascii="Arial Narrow" w:hAnsi="Arial Narrow"/>
          <w:sz w:val="26"/>
          <w:szCs w:val="26"/>
        </w:rPr>
        <w:t>susipažins su vietinių vaistažolių įvairove</w:t>
      </w:r>
      <w:r w:rsidR="006B2B2A" w:rsidRPr="005C70A4">
        <w:rPr>
          <w:rFonts w:ascii="Arial Narrow" w:hAnsi="Arial Narrow"/>
          <w:sz w:val="26"/>
          <w:szCs w:val="26"/>
        </w:rPr>
        <w:t xml:space="preserve"> jų augimo (auginimo) ir paruošimo vartojimui sąlygomis</w:t>
      </w:r>
      <w:r w:rsidR="00B82B69" w:rsidRPr="005C70A4">
        <w:rPr>
          <w:rFonts w:ascii="Arial Narrow" w:hAnsi="Arial Narrow"/>
          <w:sz w:val="26"/>
          <w:szCs w:val="26"/>
        </w:rPr>
        <w:t xml:space="preserve"> („</w:t>
      </w:r>
      <w:proofErr w:type="spellStart"/>
      <w:r w:rsidR="00B82B69" w:rsidRPr="005C70A4">
        <w:rPr>
          <w:rFonts w:ascii="Arial Narrow" w:hAnsi="Arial Narrow"/>
          <w:sz w:val="26"/>
          <w:szCs w:val="26"/>
        </w:rPr>
        <w:t>STEAMuko</w:t>
      </w:r>
      <w:proofErr w:type="spellEnd"/>
      <w:r w:rsidR="00B82B69" w:rsidRPr="005C70A4">
        <w:rPr>
          <w:rFonts w:ascii="Arial Narrow" w:hAnsi="Arial Narrow"/>
          <w:sz w:val="26"/>
          <w:szCs w:val="26"/>
        </w:rPr>
        <w:t xml:space="preserve"> vasaros“ mokytojo (72-75 psl.) ir mokinio (</w:t>
      </w:r>
      <w:r w:rsidR="00CD59FB" w:rsidRPr="005C70A4">
        <w:rPr>
          <w:rFonts w:ascii="Arial Narrow" w:hAnsi="Arial Narrow"/>
          <w:sz w:val="26"/>
          <w:szCs w:val="26"/>
        </w:rPr>
        <w:t>40-41psl.</w:t>
      </w:r>
      <w:r w:rsidR="00B82B69" w:rsidRPr="005C70A4">
        <w:rPr>
          <w:rFonts w:ascii="Arial Narrow" w:hAnsi="Arial Narrow"/>
          <w:sz w:val="26"/>
          <w:szCs w:val="26"/>
        </w:rPr>
        <w:t xml:space="preserve">) knygose yra </w:t>
      </w:r>
      <w:r w:rsidR="0011627D" w:rsidRPr="005C70A4">
        <w:rPr>
          <w:rFonts w:ascii="Arial Narrow" w:hAnsi="Arial Narrow"/>
          <w:sz w:val="26"/>
          <w:szCs w:val="26"/>
        </w:rPr>
        <w:t>detaliai</w:t>
      </w:r>
      <w:r w:rsidR="00B82B69" w:rsidRPr="005C70A4">
        <w:rPr>
          <w:rFonts w:ascii="Arial Narrow" w:hAnsi="Arial Narrow"/>
          <w:sz w:val="26"/>
          <w:szCs w:val="26"/>
        </w:rPr>
        <w:t xml:space="preserve"> apra</w:t>
      </w:r>
      <w:r w:rsidR="0011627D" w:rsidRPr="005C70A4">
        <w:rPr>
          <w:rFonts w:ascii="Arial Narrow" w:hAnsi="Arial Narrow"/>
          <w:sz w:val="26"/>
          <w:szCs w:val="26"/>
        </w:rPr>
        <w:t xml:space="preserve">šytas siauralapio </w:t>
      </w:r>
      <w:proofErr w:type="spellStart"/>
      <w:r w:rsidR="0011627D" w:rsidRPr="005C70A4">
        <w:rPr>
          <w:rFonts w:ascii="Arial Narrow" w:hAnsi="Arial Narrow"/>
          <w:sz w:val="26"/>
          <w:szCs w:val="26"/>
        </w:rPr>
        <w:t>gauromečio</w:t>
      </w:r>
      <w:proofErr w:type="spellEnd"/>
      <w:r w:rsidR="0011627D" w:rsidRPr="005C70A4">
        <w:rPr>
          <w:rFonts w:ascii="Arial Narrow" w:hAnsi="Arial Narrow"/>
          <w:sz w:val="26"/>
          <w:szCs w:val="26"/>
        </w:rPr>
        <w:t xml:space="preserve"> džiovintos ir fermentuotos žaliavos paruošimas</w:t>
      </w:r>
      <w:r w:rsidR="00B82B69" w:rsidRPr="005C70A4">
        <w:rPr>
          <w:rFonts w:ascii="Arial Narrow" w:hAnsi="Arial Narrow"/>
          <w:sz w:val="26"/>
          <w:szCs w:val="26"/>
        </w:rPr>
        <w:t>)</w:t>
      </w:r>
      <w:r w:rsidR="006B2B2A" w:rsidRPr="005C70A4">
        <w:rPr>
          <w:rFonts w:ascii="Arial Narrow" w:hAnsi="Arial Narrow"/>
          <w:sz w:val="26"/>
          <w:szCs w:val="26"/>
        </w:rPr>
        <w:t xml:space="preserve">. </w:t>
      </w:r>
      <w:r w:rsidR="00DB50A4" w:rsidRPr="005C70A4">
        <w:rPr>
          <w:rFonts w:ascii="Arial Narrow" w:hAnsi="Arial Narrow"/>
          <w:sz w:val="26"/>
          <w:szCs w:val="26"/>
        </w:rPr>
        <w:t>Veiklą galima organizuot</w:t>
      </w:r>
      <w:r w:rsidR="002A58D7" w:rsidRPr="005C70A4">
        <w:rPr>
          <w:rFonts w:ascii="Arial Narrow" w:hAnsi="Arial Narrow"/>
          <w:sz w:val="26"/>
          <w:szCs w:val="26"/>
        </w:rPr>
        <w:t>i</w:t>
      </w:r>
      <w:r w:rsidR="00DB50A4" w:rsidRPr="005C70A4">
        <w:rPr>
          <w:rFonts w:ascii="Arial Narrow" w:hAnsi="Arial Narrow"/>
          <w:sz w:val="26"/>
          <w:szCs w:val="26"/>
        </w:rPr>
        <w:t xml:space="preserve"> keliais skirtingais būdais (mokiniai vaistažoles atsineša arba jas surenka išvykos metu</w:t>
      </w:r>
      <w:r w:rsidR="002A58D7" w:rsidRPr="005C70A4">
        <w:rPr>
          <w:rFonts w:ascii="Arial Narrow" w:hAnsi="Arial Narrow"/>
          <w:sz w:val="26"/>
          <w:szCs w:val="26"/>
        </w:rPr>
        <w:t>; vaistažoles</w:t>
      </w:r>
      <w:r w:rsidR="00992796" w:rsidRPr="005C70A4">
        <w:rPr>
          <w:rFonts w:ascii="Arial Narrow" w:hAnsi="Arial Narrow"/>
          <w:sz w:val="26"/>
          <w:szCs w:val="26"/>
        </w:rPr>
        <w:t xml:space="preserve"> gali</w:t>
      </w:r>
      <w:r w:rsidR="002A58D7" w:rsidRPr="005C70A4">
        <w:rPr>
          <w:rFonts w:ascii="Arial Narrow" w:hAnsi="Arial Narrow"/>
          <w:sz w:val="26"/>
          <w:szCs w:val="26"/>
        </w:rPr>
        <w:t xml:space="preserve"> džiovinti natūraliai arba el. džiovyklėje</w:t>
      </w:r>
      <w:r w:rsidR="00CD59FB" w:rsidRPr="005C70A4">
        <w:rPr>
          <w:rFonts w:ascii="Arial Narrow" w:hAnsi="Arial Narrow"/>
          <w:sz w:val="26"/>
          <w:szCs w:val="26"/>
        </w:rPr>
        <w:t xml:space="preserve">, pasitelkiant </w:t>
      </w:r>
      <w:proofErr w:type="spellStart"/>
      <w:r w:rsidR="00CD59FB" w:rsidRPr="005C70A4">
        <w:rPr>
          <w:rFonts w:ascii="Arial Narrow" w:hAnsi="Arial Narrow"/>
          <w:sz w:val="26"/>
          <w:szCs w:val="26"/>
        </w:rPr>
        <w:t>STEAMuko</w:t>
      </w:r>
      <w:proofErr w:type="spellEnd"/>
      <w:r w:rsidR="00CD59FB" w:rsidRPr="005C70A4">
        <w:rPr>
          <w:rFonts w:ascii="Arial Narrow" w:hAnsi="Arial Narrow"/>
          <w:sz w:val="26"/>
          <w:szCs w:val="26"/>
        </w:rPr>
        <w:t xml:space="preserve"> knygos veiklą ir fermentuoti</w:t>
      </w:r>
      <w:r w:rsidR="00DB50A4" w:rsidRPr="005C70A4">
        <w:rPr>
          <w:rFonts w:ascii="Arial Narrow" w:hAnsi="Arial Narrow"/>
          <w:sz w:val="26"/>
          <w:szCs w:val="26"/>
        </w:rPr>
        <w:t xml:space="preserve">). </w:t>
      </w:r>
      <w:r w:rsidR="00235C53" w:rsidRPr="005C70A4">
        <w:rPr>
          <w:rFonts w:ascii="Arial Narrow" w:hAnsi="Arial Narrow"/>
          <w:sz w:val="26"/>
          <w:szCs w:val="26"/>
        </w:rPr>
        <w:t xml:space="preserve">Veiklos metu mokiniai </w:t>
      </w:r>
      <w:r w:rsidR="007807DA" w:rsidRPr="005C70A4">
        <w:rPr>
          <w:rFonts w:ascii="Arial Narrow" w:hAnsi="Arial Narrow"/>
          <w:sz w:val="26"/>
          <w:szCs w:val="26"/>
        </w:rPr>
        <w:t xml:space="preserve">analizuos ir lygins natūralių ir pirktinių </w:t>
      </w:r>
      <w:r w:rsidR="00E26E4D" w:rsidRPr="005C70A4">
        <w:rPr>
          <w:rFonts w:ascii="Arial Narrow" w:hAnsi="Arial Narrow"/>
          <w:sz w:val="26"/>
          <w:szCs w:val="26"/>
        </w:rPr>
        <w:t xml:space="preserve">vaistažolinių </w:t>
      </w:r>
      <w:r w:rsidR="007807DA" w:rsidRPr="005C70A4">
        <w:rPr>
          <w:rFonts w:ascii="Arial Narrow" w:hAnsi="Arial Narrow"/>
          <w:sz w:val="26"/>
          <w:szCs w:val="26"/>
        </w:rPr>
        <w:t>arbatų sudėt</w:t>
      </w:r>
      <w:r w:rsidR="00AD3EEA" w:rsidRPr="005C70A4">
        <w:rPr>
          <w:rFonts w:ascii="Arial Narrow" w:hAnsi="Arial Narrow"/>
          <w:sz w:val="26"/>
          <w:szCs w:val="26"/>
        </w:rPr>
        <w:t>is</w:t>
      </w:r>
      <w:r w:rsidR="004A6B4A" w:rsidRPr="005C70A4">
        <w:rPr>
          <w:rFonts w:ascii="Arial Narrow" w:hAnsi="Arial Narrow"/>
          <w:sz w:val="26"/>
          <w:szCs w:val="26"/>
        </w:rPr>
        <w:t>, analizuos jų naudą, gydomąsias savybes.</w:t>
      </w:r>
      <w:r w:rsidR="0001656D" w:rsidRPr="005C70A4">
        <w:rPr>
          <w:rFonts w:ascii="Arial Narrow" w:hAnsi="Arial Narrow"/>
          <w:sz w:val="26"/>
          <w:szCs w:val="26"/>
        </w:rPr>
        <w:t xml:space="preserve"> </w:t>
      </w:r>
      <w:r w:rsidR="005C70A4" w:rsidRPr="005C70A4">
        <w:rPr>
          <w:rFonts w:ascii="Arial Narrow" w:hAnsi="Arial Narrow"/>
          <w:sz w:val="26"/>
          <w:szCs w:val="26"/>
        </w:rPr>
        <w:t xml:space="preserve">Išanalizavę pirktinius arbatų pavyzdžius sukurs savo arbatos sudėtį pagal paskirtį: nuo peršalimo, raminanti, gaivinanti, Kalėdinė, vaikiška ir t.t. Jie praktiškai išbandys taikyti proporcijas, apskaičiuoti tinkamą ingredientų svorį. </w:t>
      </w:r>
      <w:r w:rsidR="00BC4DD1" w:rsidRPr="005C70A4">
        <w:rPr>
          <w:rFonts w:ascii="Arial Narrow" w:hAnsi="Arial Narrow"/>
          <w:sz w:val="26"/>
          <w:szCs w:val="26"/>
        </w:rPr>
        <w:t xml:space="preserve">Mokiniai šios veiklos metu </w:t>
      </w:r>
      <w:r w:rsidR="00DB50A4" w:rsidRPr="005C70A4">
        <w:rPr>
          <w:rFonts w:ascii="Arial Narrow" w:hAnsi="Arial Narrow"/>
          <w:sz w:val="26"/>
          <w:szCs w:val="26"/>
        </w:rPr>
        <w:t>p</w:t>
      </w:r>
      <w:r w:rsidR="00CC08FC" w:rsidRPr="005C70A4">
        <w:rPr>
          <w:rFonts w:ascii="Arial Narrow" w:hAnsi="Arial Narrow"/>
          <w:sz w:val="26"/>
          <w:szCs w:val="26"/>
        </w:rPr>
        <w:t xml:space="preserve">lanuos, </w:t>
      </w:r>
      <w:proofErr w:type="spellStart"/>
      <w:r w:rsidR="00CC08FC" w:rsidRPr="005C70A4">
        <w:rPr>
          <w:rFonts w:ascii="Arial Narrow" w:hAnsi="Arial Narrow"/>
          <w:sz w:val="26"/>
          <w:szCs w:val="26"/>
        </w:rPr>
        <w:t>dizainuos</w:t>
      </w:r>
      <w:proofErr w:type="spellEnd"/>
      <w:r w:rsidR="00CC08FC" w:rsidRPr="005C70A4">
        <w:rPr>
          <w:rFonts w:ascii="Arial Narrow" w:hAnsi="Arial Narrow"/>
          <w:sz w:val="26"/>
          <w:szCs w:val="26"/>
        </w:rPr>
        <w:t xml:space="preserve"> ir </w:t>
      </w:r>
      <w:r w:rsidR="005C70A4" w:rsidRPr="005C70A4">
        <w:rPr>
          <w:rFonts w:ascii="Arial Narrow" w:hAnsi="Arial Narrow"/>
          <w:sz w:val="26"/>
          <w:szCs w:val="26"/>
        </w:rPr>
        <w:t>siūs</w:t>
      </w:r>
      <w:r w:rsidR="00CC08FC" w:rsidRPr="005C70A4">
        <w:rPr>
          <w:rFonts w:ascii="Arial Narrow" w:hAnsi="Arial Narrow"/>
          <w:sz w:val="26"/>
          <w:szCs w:val="26"/>
        </w:rPr>
        <w:t xml:space="preserve"> </w:t>
      </w:r>
      <w:r w:rsidR="005C70A4" w:rsidRPr="005C70A4">
        <w:rPr>
          <w:rFonts w:ascii="Arial Narrow" w:hAnsi="Arial Narrow"/>
          <w:sz w:val="26"/>
          <w:szCs w:val="26"/>
        </w:rPr>
        <w:t xml:space="preserve">medžiagines </w:t>
      </w:r>
      <w:r w:rsidR="0011135A" w:rsidRPr="005C70A4">
        <w:rPr>
          <w:rFonts w:ascii="Arial Narrow" w:hAnsi="Arial Narrow"/>
          <w:sz w:val="26"/>
          <w:szCs w:val="26"/>
        </w:rPr>
        <w:t>pakuotes vaistažolėms.</w:t>
      </w:r>
      <w:r w:rsidR="005C70A4" w:rsidRPr="005C70A4">
        <w:rPr>
          <w:rFonts w:ascii="Arial Narrow" w:hAnsi="Arial Narrow"/>
          <w:sz w:val="26"/>
          <w:szCs w:val="26"/>
        </w:rPr>
        <w:t xml:space="preserve"> Esant galimybei keramikos pamokose nusilipdys puodelį arbatai.</w:t>
      </w:r>
    </w:p>
    <w:tbl>
      <w:tblPr>
        <w:tblStyle w:val="TableGrid"/>
        <w:tblpPr w:leftFromText="187" w:rightFromText="187" w:vertAnchor="text" w:horzAnchor="margin" w:tblpX="-162" w:tblpY="334"/>
        <w:tblW w:w="15048" w:type="dxa"/>
        <w:tblLook w:val="04A0" w:firstRow="1" w:lastRow="0" w:firstColumn="1" w:lastColumn="0" w:noHBand="0" w:noVBand="1"/>
      </w:tblPr>
      <w:tblGrid>
        <w:gridCol w:w="1615"/>
        <w:gridCol w:w="7020"/>
        <w:gridCol w:w="270"/>
        <w:gridCol w:w="6143"/>
      </w:tblGrid>
      <w:tr w:rsidR="00F0621D" w:rsidRPr="001D6C89" w14:paraId="1E8FB4B4" w14:textId="48137929" w:rsidTr="00F7158C">
        <w:tc>
          <w:tcPr>
            <w:tcW w:w="1615" w:type="dxa"/>
          </w:tcPr>
          <w:p w14:paraId="63F7B9A0" w14:textId="77777777" w:rsidR="00F0621D" w:rsidRPr="005D0D65" w:rsidRDefault="00F0621D" w:rsidP="005C70A4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S</w:t>
            </w:r>
          </w:p>
          <w:p w14:paraId="31991075" w14:textId="77777777" w:rsidR="00F0621D" w:rsidRPr="00F46A1C" w:rsidRDefault="00F0621D" w:rsidP="005C70A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59654EDF" w14:textId="679470E0" w:rsidR="00F0621D" w:rsidRPr="004C0B57" w:rsidRDefault="00C10097" w:rsidP="005C70A4">
            <w:pPr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4C0B57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Susipa</w:t>
            </w:r>
            <w:r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>ž</w:t>
            </w:r>
            <w:r w:rsidRPr="004C0B57">
              <w:rPr>
                <w:rFonts w:ascii="Arial Narrow" w:hAnsi="Arial Narrow" w:cs="Cambria"/>
                <w:sz w:val="24"/>
                <w:szCs w:val="24"/>
                <w:shd w:val="clear" w:color="auto" w:fill="FFFFFF"/>
              </w:rPr>
              <w:t>į</w:t>
            </w:r>
            <w:r w:rsidRPr="004C0B57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stama su vaistažolėmis, kurios auga </w:t>
            </w:r>
            <w:r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>mūsų apylinkėse</w:t>
            </w:r>
            <w:r w:rsidR="009375A9"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 xml:space="preserve">. Aptariama koks gali būti jų poveikis sveikatai. </w:t>
            </w:r>
            <w:r w:rsidR="00B03DEA"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 xml:space="preserve">Susipažįstama ir su nuodingais augalais augančiais šalia mūsų. Aptarimas teisingas </w:t>
            </w:r>
            <w:proofErr w:type="spellStart"/>
            <w:r w:rsidR="00B03DEA"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>vaistažolinių</w:t>
            </w:r>
            <w:proofErr w:type="spellEnd"/>
            <w:r w:rsidR="00B03DEA" w:rsidRPr="004C0B57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 xml:space="preserve"> augalų rinkimas, laikymas, </w:t>
            </w:r>
            <w:r w:rsidR="00B03DEA" w:rsidRPr="00F7158C">
              <w:rPr>
                <w:rFonts w:ascii="Arial Narrow" w:hAnsi="Arial Narrow" w:cs="Roboto"/>
                <w:sz w:val="24"/>
                <w:szCs w:val="24"/>
                <w:shd w:val="clear" w:color="auto" w:fill="FFFFFF"/>
              </w:rPr>
              <w:t xml:space="preserve">apdorojimas. </w:t>
            </w:r>
            <w:r w:rsidR="005C2AEE" w:rsidRPr="00F7158C">
              <w:rPr>
                <w:rFonts w:ascii="Arial Narrow" w:hAnsi="Arial Narrow"/>
                <w:sz w:val="24"/>
                <w:szCs w:val="24"/>
              </w:rPr>
              <w:t xml:space="preserve"> Apibrėžiama šiluma ir temperatūra, mokomasi įvertinti temperatūrą skirtingose temperatūrų skalėse.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463" w14:textId="77777777" w:rsidR="00F0621D" w:rsidRPr="00C10097" w:rsidRDefault="00F0621D" w:rsidP="005C70A4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</w:tcPr>
          <w:p w14:paraId="2FED300E" w14:textId="21EFBE2C" w:rsidR="00F0621D" w:rsidRPr="00F0621D" w:rsidRDefault="00F0621D" w:rsidP="005C70A4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0621D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Lietuvių kalba</w:t>
            </w:r>
          </w:p>
          <w:p w14:paraId="2E1BF65C" w14:textId="735B3720" w:rsidR="00F0621D" w:rsidRPr="0029289B" w:rsidRDefault="0029289B" w:rsidP="005C70A4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Diskutuoja, dalijasi patirtimi apie </w:t>
            </w:r>
            <w:r w:rsidR="0069798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vaistažolių naudojimą šeimoje. </w:t>
            </w:r>
            <w:r w:rsidR="00A37231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Ruošia pristatymą</w:t>
            </w:r>
            <w:r w:rsidR="004C0B57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A37231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 jį pristato klasės draugams. </w:t>
            </w:r>
            <w:r w:rsidR="0069798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0621D" w:rsidRPr="00C77185" w14:paraId="01E1AEFB" w14:textId="01C6E072" w:rsidTr="00F7158C">
        <w:tc>
          <w:tcPr>
            <w:tcW w:w="1615" w:type="dxa"/>
          </w:tcPr>
          <w:p w14:paraId="0A142241" w14:textId="77777777" w:rsidR="00F0621D" w:rsidRPr="005D0D65" w:rsidRDefault="00F0621D" w:rsidP="005C70A4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T</w:t>
            </w:r>
          </w:p>
          <w:p w14:paraId="4172C851" w14:textId="77777777" w:rsidR="00F0621D" w:rsidRPr="00F46A1C" w:rsidRDefault="00F0621D" w:rsidP="005C70A4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6B7BA7CF" w14:textId="4882F7C4" w:rsidR="00F0621D" w:rsidRPr="004C0B57" w:rsidRDefault="00F774C5" w:rsidP="005C70A4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lang w:val="lt-LT"/>
              </w:rPr>
            </w:pPr>
            <w:r w:rsidRPr="004C0B57">
              <w:rPr>
                <w:rFonts w:ascii="Arial Narrow" w:hAnsi="Arial Narrow"/>
                <w:lang w:val="lt-LT"/>
              </w:rPr>
              <w:t>Aptariamos nacionalinės virtuvės prieskonių, maistinių augalų ir vaistažolių sveikatai naudingos savybės</w:t>
            </w:r>
            <w:r w:rsidR="00CD59FB" w:rsidRPr="004C0B57">
              <w:rPr>
                <w:rFonts w:ascii="Arial Narrow" w:hAnsi="Arial Narrow"/>
                <w:lang w:val="lt-LT"/>
              </w:rPr>
              <w:t>.</w:t>
            </w:r>
            <w:r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 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Aptariami ir i</w:t>
            </w:r>
            <w:r w:rsidR="00427CED" w:rsidRPr="004C0B57">
              <w:rPr>
                <w:rFonts w:ascii="Arial Narrow" w:hAnsi="Arial Narrow" w:cs="Roboto"/>
                <w:shd w:val="clear" w:color="auto" w:fill="FFFFFF"/>
                <w:lang w:val="lt-LT"/>
              </w:rPr>
              <w:t>š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bandomi svėrimo, </w:t>
            </w:r>
            <w:r w:rsidR="000F6C58" w:rsidRPr="004C0B57">
              <w:rPr>
                <w:rFonts w:ascii="Arial Narrow" w:hAnsi="Arial Narrow"/>
                <w:shd w:val="clear" w:color="auto" w:fill="FFFFFF"/>
                <w:lang w:val="lt-LT"/>
              </w:rPr>
              <w:t>siuvimo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 </w:t>
            </w:r>
            <w:r w:rsidR="00427CED" w:rsidRPr="004C0B57">
              <w:rPr>
                <w:rFonts w:ascii="Arial Narrow" w:hAnsi="Arial Narrow" w:cs="Cambria"/>
                <w:shd w:val="clear" w:color="auto" w:fill="FFFFFF"/>
                <w:lang w:val="lt-LT"/>
              </w:rPr>
              <w:t>į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rankiai, priemon</w:t>
            </w:r>
            <w:r w:rsidR="00427CED" w:rsidRPr="004C0B57">
              <w:rPr>
                <w:rFonts w:ascii="Arial Narrow" w:hAnsi="Arial Narrow" w:cs="Cambria"/>
                <w:shd w:val="clear" w:color="auto" w:fill="FFFFFF"/>
                <w:lang w:val="lt-LT"/>
              </w:rPr>
              <w:t>ė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s (pavyzd</w:t>
            </w:r>
            <w:r w:rsidR="00427CED" w:rsidRPr="004C0B57">
              <w:rPr>
                <w:rFonts w:ascii="Arial Narrow" w:hAnsi="Arial Narrow" w:cs="Roboto"/>
                <w:shd w:val="clear" w:color="auto" w:fill="FFFFFF"/>
                <w:lang w:val="lt-LT"/>
              </w:rPr>
              <w:t>ž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iui,</w:t>
            </w:r>
            <w:r w:rsidR="000A6495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 siūlas, linas, adata, medvilnė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), j</w:t>
            </w:r>
            <w:r w:rsidR="00427CED" w:rsidRPr="004C0B57">
              <w:rPr>
                <w:rFonts w:ascii="Arial Narrow" w:hAnsi="Arial Narrow" w:cs="Cambria"/>
                <w:shd w:val="clear" w:color="auto" w:fill="FFFFFF"/>
                <w:lang w:val="lt-LT"/>
              </w:rPr>
              <w:t>ų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 taikymo pavyzd</w:t>
            </w:r>
            <w:r w:rsidR="00427CED" w:rsidRPr="004C0B57">
              <w:rPr>
                <w:rFonts w:ascii="Arial Narrow" w:hAnsi="Arial Narrow" w:cs="Roboto"/>
                <w:shd w:val="clear" w:color="auto" w:fill="FFFFFF"/>
                <w:lang w:val="lt-LT"/>
              </w:rPr>
              <w:t>ž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iai. </w:t>
            </w:r>
            <w:r w:rsidR="00E66C62" w:rsidRPr="004C0B57">
              <w:rPr>
                <w:rFonts w:ascii="Arial Narrow" w:hAnsi="Arial Narrow"/>
                <w:shd w:val="clear" w:color="auto" w:fill="FFFFFF"/>
                <w:lang w:val="lt-LT"/>
              </w:rPr>
              <w:t xml:space="preserve">Dizaino projektavimas. </w:t>
            </w:r>
            <w:r w:rsidR="00427CED" w:rsidRPr="004C0B57">
              <w:rPr>
                <w:rFonts w:ascii="Arial Narrow" w:hAnsi="Arial Narrow"/>
                <w:shd w:val="clear" w:color="auto" w:fill="FFFFFF"/>
                <w:lang w:val="lt-LT"/>
              </w:rPr>
              <w:t>Antrinės konstravimo žaliavos, jų savybės.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678B" w14:textId="77777777" w:rsidR="00F0621D" w:rsidRPr="00C77185" w:rsidRDefault="00F0621D" w:rsidP="005C70A4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</w:tcPr>
          <w:p w14:paraId="00AEC4E0" w14:textId="00A1A616" w:rsidR="005C70A4" w:rsidRPr="00F0621D" w:rsidRDefault="005C70A4" w:rsidP="005C70A4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Istorija ir Geografija</w:t>
            </w:r>
          </w:p>
          <w:p w14:paraId="459D31A8" w14:textId="55BC6E31" w:rsidR="00F0621D" w:rsidRPr="00F0621D" w:rsidRDefault="005C70A4" w:rsidP="005C70A4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Juodosios ir žaliosios arbatos augimvietės pasaulyje, kurios šalys yra didžiausios arbatos tiekėjos. Arbatos atsiradimo, gabenimo į Europą istorija. </w:t>
            </w:r>
          </w:p>
        </w:tc>
      </w:tr>
      <w:tr w:rsidR="00A37231" w:rsidRPr="00C77185" w14:paraId="65714012" w14:textId="3A86D55F" w:rsidTr="00F7158C">
        <w:trPr>
          <w:trHeight w:val="872"/>
        </w:trPr>
        <w:tc>
          <w:tcPr>
            <w:tcW w:w="1615" w:type="dxa"/>
          </w:tcPr>
          <w:p w14:paraId="4A02938C" w14:textId="77777777" w:rsidR="00A37231" w:rsidRPr="005D0D65" w:rsidRDefault="00A37231" w:rsidP="005C70A4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E</w:t>
            </w:r>
          </w:p>
          <w:p w14:paraId="5FE33CD3" w14:textId="77777777" w:rsidR="00A37231" w:rsidRPr="00F46A1C" w:rsidRDefault="00A37231" w:rsidP="005C70A4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ENGINERING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234FB905" w14:textId="77777777" w:rsidR="00F774C5" w:rsidRPr="004C0B57" w:rsidRDefault="00F774C5" w:rsidP="005C70A4">
            <w:pPr>
              <w:pStyle w:val="BodyText"/>
              <w:spacing w:after="0"/>
              <w:rPr>
                <w:rFonts w:ascii="Arial Narrow" w:hAnsi="Arial Narrow"/>
                <w:lang w:val="lt-LT"/>
              </w:rPr>
            </w:pPr>
            <w:r w:rsidRPr="004C0B57">
              <w:rPr>
                <w:rFonts w:ascii="Arial Narrow" w:hAnsi="Arial Narrow"/>
                <w:lang w:val="lt-LT"/>
              </w:rPr>
              <w:t xml:space="preserve">Taikomi nesudėtingų gaminių, jų detalių projektavimo elementai: idėjos eskizavimas, elementaraus brėžinio sudarymas, formos kūrimas. </w:t>
            </w:r>
          </w:p>
          <w:p w14:paraId="2BA148C4" w14:textId="5FF649CE" w:rsidR="00A37231" w:rsidRPr="004C0B57" w:rsidRDefault="00A37231" w:rsidP="005C70A4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4C0B57">
              <w:rPr>
                <w:rFonts w:ascii="Arial Narrow" w:hAnsi="Arial Narrow"/>
                <w:sz w:val="24"/>
                <w:szCs w:val="24"/>
              </w:rPr>
              <w:t xml:space="preserve">Matavimas, skaičiavimas ir konstravimas iš susikurto dizaino. Susipažinus su medžiagomis ir instrukcijomis, </w:t>
            </w:r>
            <w:proofErr w:type="spellStart"/>
            <w:r w:rsidRPr="004C0B57">
              <w:rPr>
                <w:rFonts w:ascii="Arial Narrow" w:hAnsi="Arial Narrow"/>
                <w:sz w:val="24"/>
                <w:szCs w:val="24"/>
              </w:rPr>
              <w:t>dizainuojam</w:t>
            </w:r>
            <w:r w:rsidR="00F774C5" w:rsidRPr="004C0B57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Pr="004C0B57">
              <w:rPr>
                <w:rFonts w:ascii="Arial Narrow" w:hAnsi="Arial Narrow"/>
                <w:sz w:val="24"/>
                <w:szCs w:val="24"/>
              </w:rPr>
              <w:t>, planuojam</w:t>
            </w:r>
            <w:r w:rsidR="00F774C5" w:rsidRPr="004C0B57">
              <w:rPr>
                <w:rFonts w:ascii="Arial Narrow" w:hAnsi="Arial Narrow"/>
                <w:sz w:val="24"/>
                <w:szCs w:val="24"/>
              </w:rPr>
              <w:t>a</w:t>
            </w:r>
            <w:r w:rsidRPr="004C0B57">
              <w:rPr>
                <w:rFonts w:ascii="Arial Narrow" w:hAnsi="Arial Narrow"/>
                <w:sz w:val="24"/>
                <w:szCs w:val="24"/>
              </w:rPr>
              <w:t>, siuvam</w:t>
            </w:r>
            <w:r w:rsidR="00F774C5" w:rsidRPr="004C0B57">
              <w:rPr>
                <w:rFonts w:ascii="Arial Narrow" w:hAnsi="Arial Narrow"/>
                <w:sz w:val="24"/>
                <w:szCs w:val="24"/>
              </w:rPr>
              <w:t>a</w:t>
            </w:r>
            <w:r w:rsidRPr="004C0B57">
              <w:rPr>
                <w:rFonts w:ascii="Arial Narrow" w:hAnsi="Arial Narrow"/>
                <w:sz w:val="24"/>
                <w:szCs w:val="24"/>
              </w:rPr>
              <w:t xml:space="preserve"> ir įvertinam</w:t>
            </w:r>
            <w:r w:rsidR="00F774C5" w:rsidRPr="004C0B57">
              <w:rPr>
                <w:rFonts w:ascii="Arial Narrow" w:hAnsi="Arial Narrow"/>
                <w:sz w:val="24"/>
                <w:szCs w:val="24"/>
              </w:rPr>
              <w:t>a</w:t>
            </w:r>
            <w:r w:rsidRPr="004C0B57">
              <w:rPr>
                <w:rFonts w:ascii="Arial Narrow" w:hAnsi="Arial Narrow"/>
                <w:sz w:val="24"/>
                <w:szCs w:val="24"/>
              </w:rPr>
              <w:t xml:space="preserve"> pagal kriterijus.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B53A" w14:textId="77777777" w:rsidR="00A37231" w:rsidRPr="00BB4A4A" w:rsidRDefault="00A37231" w:rsidP="005C70A4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143" w:type="dxa"/>
            <w:vMerge w:val="restart"/>
            <w:tcBorders>
              <w:left w:val="single" w:sz="4" w:space="0" w:color="auto"/>
            </w:tcBorders>
          </w:tcPr>
          <w:p w14:paraId="0169E305" w14:textId="77777777" w:rsidR="00A37231" w:rsidRPr="004C0B57" w:rsidRDefault="00A37231" w:rsidP="005C70A4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C0B5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Informacinės technologijos</w:t>
            </w:r>
          </w:p>
          <w:p w14:paraId="2F89C18A" w14:textId="77777777" w:rsidR="00B02D5D" w:rsidRPr="004C0B57" w:rsidRDefault="00A37231" w:rsidP="005C70A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Pristatymo (PowerPoint) rengimas, </w:t>
            </w:r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duomenų suvedimas ir pateikimas diagramomis (</w:t>
            </w:r>
            <w:proofErr w:type="spellStart"/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). Žolelių atpažinimas naudojant </w:t>
            </w:r>
            <w:proofErr w:type="spellStart"/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lens</w:t>
            </w:r>
            <w:proofErr w:type="spellEnd"/>
            <w:r w:rsidR="00B02D5D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ir/ar “</w:t>
            </w:r>
            <w:proofErr w:type="spellStart"/>
            <w:r w:rsidR="00B02D5D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iNaturalist</w:t>
            </w:r>
            <w:proofErr w:type="spellEnd"/>
            <w:r w:rsidR="00B02D5D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>” programėlę</w:t>
            </w:r>
            <w:r w:rsidR="001055E7" w:rsidRPr="004C0B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</w:t>
            </w:r>
          </w:p>
          <w:p w14:paraId="06750F57" w14:textId="758FFA7F" w:rsidR="00B02D5D" w:rsidRPr="004C0B57" w:rsidRDefault="00B02D5D" w:rsidP="005C70A4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C0B57">
              <w:rPr>
                <w:rFonts w:ascii="Arial Narrow" w:hAnsi="Arial Narrow"/>
                <w:color w:val="FF0000"/>
                <w:sz w:val="24"/>
                <w:szCs w:val="24"/>
              </w:rPr>
              <w:t>Tinklapiai</w:t>
            </w:r>
          </w:p>
          <w:p w14:paraId="5657EF9E" w14:textId="55B983F3" w:rsidR="00B02D5D" w:rsidRPr="004C0B57" w:rsidRDefault="00B02D5D" w:rsidP="005C70A4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Pr="004C0B57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https://www.youtube.com/watch?v=WWV4ahvVZSA</w:t>
              </w:r>
            </w:hyperlink>
            <w:r w:rsidRPr="004C0B57">
              <w:rPr>
                <w:rFonts w:ascii="Arial Narrow" w:hAnsi="Arial Narrow"/>
                <w:sz w:val="24"/>
                <w:szCs w:val="24"/>
              </w:rPr>
              <w:t xml:space="preserve"> – trumpas supažindinimas su pagrindinėmis vaistažolėmis ir jų savybėmis</w:t>
            </w:r>
            <w:r w:rsidR="0094472B" w:rsidRPr="004C0B57">
              <w:rPr>
                <w:rFonts w:ascii="Arial Narrow" w:hAnsi="Arial Narrow"/>
                <w:sz w:val="24"/>
                <w:szCs w:val="24"/>
              </w:rPr>
              <w:t>, tinkamas labiau pradinukams</w:t>
            </w:r>
          </w:p>
          <w:p w14:paraId="61B47819" w14:textId="34704BDF" w:rsidR="00A37231" w:rsidRPr="004C0B57" w:rsidRDefault="00B02D5D" w:rsidP="005C70A4">
            <w:pPr>
              <w:rPr>
                <w:rFonts w:ascii="Arial Narrow" w:hAnsi="Arial Narrow"/>
                <w:color w:val="0563C1" w:themeColor="hyperlink"/>
                <w:sz w:val="24"/>
                <w:szCs w:val="24"/>
              </w:rPr>
            </w:pPr>
            <w:hyperlink r:id="rId8" w:history="1">
              <w:r w:rsidRPr="004C0B57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https://www.youtube.com/watch?v=BeGmlkO-krI</w:t>
              </w:r>
            </w:hyperlink>
            <w:r w:rsidR="0094472B" w:rsidRPr="004C0B57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 -  </w:t>
            </w:r>
            <w:r w:rsidR="0094472B" w:rsidRP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 xml:space="preserve">mažiau žinomos 5 vaistažolės (įskaitant ir siauralapį </w:t>
            </w:r>
            <w:proofErr w:type="spellStart"/>
            <w:r w:rsidR="0094472B" w:rsidRP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>gaurometį</w:t>
            </w:r>
            <w:proofErr w:type="spellEnd"/>
            <w:r w:rsidR="0094472B" w:rsidRP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 xml:space="preserve">), </w:t>
            </w:r>
            <w:proofErr w:type="spellStart"/>
            <w:r w:rsidR="0094472B" w:rsidRP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>video</w:t>
            </w:r>
            <w:proofErr w:type="spellEnd"/>
            <w:r w:rsidR="0094472B" w:rsidRP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 xml:space="preserve"> žodynas sudėtingesnis, išsamus vaistažolių panaudojimo paaiškinimas (kai kurie ligų terminai gali vaikams būti nepažį</w:t>
            </w:r>
            <w:r w:rsidR="004C0B57"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  <w:t>stami)</w:t>
            </w:r>
          </w:p>
        </w:tc>
      </w:tr>
      <w:tr w:rsidR="00A37231" w:rsidRPr="00C77185" w14:paraId="5A5DCB52" w14:textId="63704812" w:rsidTr="00F7158C">
        <w:trPr>
          <w:trHeight w:val="70"/>
        </w:trPr>
        <w:tc>
          <w:tcPr>
            <w:tcW w:w="1615" w:type="dxa"/>
          </w:tcPr>
          <w:p w14:paraId="44B3ED92" w14:textId="77777777" w:rsidR="00A37231" w:rsidRPr="005D0D65" w:rsidRDefault="00A37231" w:rsidP="005C70A4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A</w:t>
            </w:r>
          </w:p>
          <w:p w14:paraId="45ADDD9E" w14:textId="77777777" w:rsidR="00A37231" w:rsidRPr="00F46A1C" w:rsidRDefault="00A37231" w:rsidP="005C70A4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ARTS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3A1BDF99" w14:textId="3E219F13" w:rsidR="00A37231" w:rsidRPr="004C0B57" w:rsidRDefault="00A37231" w:rsidP="005C70A4">
            <w:pPr>
              <w:pStyle w:val="Default"/>
              <w:rPr>
                <w:rFonts w:ascii="Arial Narrow" w:hAnsi="Arial Narrow"/>
                <w:b/>
                <w:bCs/>
                <w:color w:val="auto"/>
                <w:lang w:val="lt-LT"/>
              </w:rPr>
            </w:pPr>
            <w:r w:rsidRPr="004C0B57">
              <w:rPr>
                <w:rFonts w:ascii="Arial Narrow" w:hAnsi="Arial Narrow"/>
                <w:color w:val="auto"/>
                <w:lang w:val="lt-LT"/>
              </w:rPr>
              <w:t xml:space="preserve">Pakuočių projektavimas ir modeliavimas. Pakuočių apipavidalinimas etikečių kūrimas. </w:t>
            </w:r>
            <w:r w:rsidR="004C0B57" w:rsidRPr="004C0B57">
              <w:rPr>
                <w:rFonts w:ascii="Arial Narrow" w:hAnsi="Arial Narrow"/>
                <w:color w:val="auto"/>
                <w:lang w:val="lt-LT"/>
              </w:rPr>
              <w:t>Simetriška ir nesimetriška kompozicija. Visuma ir detalė. Dydžių ir spalvų santykiai. Koloritas – šviesus, tamsus, vienspalvis, įvairiaspalvis ir kt.</w:t>
            </w:r>
            <w:r w:rsidR="005C70A4">
              <w:rPr>
                <w:rFonts w:ascii="Arial Narrow" w:hAnsi="Arial Narrow"/>
                <w:color w:val="auto"/>
                <w:lang w:val="lt-LT"/>
              </w:rPr>
              <w:t xml:space="preserve"> </w:t>
            </w:r>
            <w:r w:rsidR="005C70A4" w:rsidRPr="005C70A4">
              <w:rPr>
                <w:rFonts w:eastAsiaTheme="minorHAnsi"/>
                <w:color w:val="414162"/>
                <w:kern w:val="2"/>
                <w:sz w:val="22"/>
                <w:szCs w:val="22"/>
                <w:shd w:val="clear" w:color="auto" w:fill="FFFFFF"/>
                <w:lang w:val="lt-LT" w:eastAsia="en-US"/>
                <w14:ligatures w14:val="standardContextual"/>
              </w:rPr>
              <w:t xml:space="preserve"> </w:t>
            </w:r>
            <w:r w:rsidR="005C70A4" w:rsidRPr="005C70A4">
              <w:rPr>
                <w:rFonts w:ascii="Arial Narrow" w:hAnsi="Arial Narrow"/>
                <w:color w:val="auto"/>
                <w:lang w:val="lt-LT"/>
              </w:rPr>
              <w:t>Mokosi sudėtingesnių dailės technikų</w:t>
            </w:r>
            <w:r w:rsidR="005C70A4">
              <w:rPr>
                <w:rFonts w:ascii="Arial Narrow" w:hAnsi="Arial Narrow"/>
                <w:color w:val="auto"/>
                <w:lang w:val="lt-LT"/>
              </w:rPr>
              <w:t xml:space="preserve"> -lipdymo</w:t>
            </w:r>
            <w:r w:rsidR="005C70A4" w:rsidRPr="005C70A4">
              <w:rPr>
                <w:rFonts w:ascii="Arial Narrow" w:hAnsi="Arial Narrow"/>
                <w:color w:val="auto"/>
                <w:lang w:val="lt-LT"/>
              </w:rPr>
              <w:t xml:space="preserve"> (</w:t>
            </w:r>
            <w:r w:rsidR="005C70A4">
              <w:rPr>
                <w:rFonts w:ascii="Arial Narrow" w:hAnsi="Arial Narrow"/>
                <w:color w:val="auto"/>
                <w:lang w:val="lt-LT"/>
              </w:rPr>
              <w:t>jei gamina puodelį arbatai)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1639" w14:textId="77777777" w:rsidR="00A37231" w:rsidRPr="00C77185" w:rsidRDefault="00A37231" w:rsidP="005C70A4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3" w:type="dxa"/>
            <w:vMerge/>
            <w:tcBorders>
              <w:left w:val="single" w:sz="4" w:space="0" w:color="auto"/>
            </w:tcBorders>
          </w:tcPr>
          <w:p w14:paraId="6589D771" w14:textId="364BB7AD" w:rsidR="00A37231" w:rsidRPr="00C77185" w:rsidRDefault="00A37231" w:rsidP="005C70A4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231" w:rsidRPr="00976C94" w14:paraId="16621D4D" w14:textId="741B0262" w:rsidTr="00F7158C">
        <w:trPr>
          <w:trHeight w:val="1142"/>
        </w:trPr>
        <w:tc>
          <w:tcPr>
            <w:tcW w:w="1615" w:type="dxa"/>
          </w:tcPr>
          <w:p w14:paraId="5B4DE15A" w14:textId="77777777" w:rsidR="00A37231" w:rsidRPr="00976C94" w:rsidRDefault="00A37231" w:rsidP="005C70A4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976C9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55CB2E5C" w14:textId="16397083" w:rsidR="00A37231" w:rsidRPr="00976C94" w:rsidRDefault="00A37231" w:rsidP="005C70A4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976C9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6EBE5224" w14:textId="7209A247" w:rsidR="00A37231" w:rsidRPr="004C0B57" w:rsidRDefault="001C1BBC" w:rsidP="005C70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lang w:val="lt-LT"/>
              </w:rPr>
            </w:pPr>
            <w:r w:rsidRPr="004C0B57">
              <w:rPr>
                <w:rFonts w:ascii="Arial Narrow" w:hAnsi="Arial Narrow"/>
                <w:lang w:val="lt-LT"/>
              </w:rPr>
              <w:t>Apibrėžiama procento sąvoka, mokoma(</w:t>
            </w:r>
            <w:proofErr w:type="spellStart"/>
            <w:r w:rsidRPr="004C0B57">
              <w:rPr>
                <w:rFonts w:ascii="Arial Narrow" w:hAnsi="Arial Narrow"/>
                <w:lang w:val="lt-LT"/>
              </w:rPr>
              <w:t>si</w:t>
            </w:r>
            <w:proofErr w:type="spellEnd"/>
            <w:r w:rsidRPr="004C0B57">
              <w:rPr>
                <w:rFonts w:ascii="Arial Narrow" w:hAnsi="Arial Narrow"/>
                <w:lang w:val="lt-LT"/>
              </w:rPr>
              <w:t xml:space="preserve">) ją taikyti, sprendžiant skaičiaus (dydžio) dalies ar visumos radimo uždavinius; skaičiaus nurodytu procentų skaičiumi padidėjimo ar sumažėjimo uždavinius. Vaistažolių svėrimas, svorio pokyčio skaičiavimas jo išreiškimas procentais. </w:t>
            </w:r>
            <w:r w:rsidRPr="004C0B57">
              <w:rPr>
                <w:rFonts w:ascii="Arial" w:eastAsiaTheme="minorHAnsi" w:hAnsi="Arial" w:cs="Arial"/>
                <w:color w:val="414162"/>
                <w:kern w:val="2"/>
                <w:sz w:val="22"/>
                <w:szCs w:val="22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CF7A41" w14:textId="77777777" w:rsidR="00A37231" w:rsidRPr="00976C94" w:rsidRDefault="00A37231" w:rsidP="005C70A4">
            <w:pPr>
              <w:pStyle w:val="NormalWeb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143" w:type="dxa"/>
            <w:vMerge/>
            <w:tcBorders>
              <w:left w:val="single" w:sz="4" w:space="0" w:color="auto"/>
            </w:tcBorders>
          </w:tcPr>
          <w:p w14:paraId="4B375EDD" w14:textId="1FE00A8D" w:rsidR="00A37231" w:rsidRPr="00976C94" w:rsidRDefault="00A37231" w:rsidP="005C70A4">
            <w:pPr>
              <w:rPr>
                <w:rFonts w:ascii="Arial Narrow" w:hAnsi="Arial Narrow"/>
                <w:color w:val="333333"/>
              </w:rPr>
            </w:pPr>
          </w:p>
        </w:tc>
      </w:tr>
    </w:tbl>
    <w:p w14:paraId="61F94331" w14:textId="76A37719" w:rsidR="00BC4700" w:rsidRPr="000730E9" w:rsidRDefault="005C70A4" w:rsidP="005C2AEE">
      <w:pPr>
        <w:tabs>
          <w:tab w:val="left" w:pos="6600"/>
        </w:tabs>
      </w:pPr>
      <w:r w:rsidRPr="00976C94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1A3EE" wp14:editId="139DDAAA">
                <wp:simplePos x="0" y="0"/>
                <wp:positionH relativeFrom="column">
                  <wp:posOffset>-104775</wp:posOffset>
                </wp:positionH>
                <wp:positionV relativeFrom="paragraph">
                  <wp:posOffset>4408265</wp:posOffset>
                </wp:positionV>
                <wp:extent cx="9563100" cy="523875"/>
                <wp:effectExtent l="0" t="0" r="19050" b="28575"/>
                <wp:wrapNone/>
                <wp:docPr id="664702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40CB35BF" w:rsidR="00FF4BF3" w:rsidRPr="005C2AEE" w:rsidRDefault="005C2AE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metodinė medžiaga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Šis aiškinamasis integracinis lapas, veiklos planas, vaistažolių „Bingo“ žaidimas, veiklos skaidrės</w:t>
                            </w:r>
                            <w:r w:rsidR="00F7158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(pakuočių tyrinėjimas, dizainas, įsivertinimas)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bei mokinio lapai</w:t>
                            </w:r>
                            <w:r w:rsidR="00F7158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3 lapai pakuočių tyrinėjimas, dizaino kūrimas ir įsivertinimas ir 1 lapas žaliavos ir džiovintų vaistažolių išvaizdos bei svorio palyginimas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6D08F0" w14:textId="5AE9CC85" w:rsidR="001262AD" w:rsidRDefault="001262AD" w:rsidP="001262AD">
                            <w:pP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A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347.1pt;width:753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">
                <v:textbox>
                  <w:txbxContent>
                    <w:p w14:paraId="013BEAFD" w14:textId="40CB35BF" w:rsidR="00FF4BF3" w:rsidRPr="005C2AEE" w:rsidRDefault="005C2AE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metodinė medžiaga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Šis aiškinamasis integracinis lapas, veiklos planas, vaistažolių „Bingo“ žaidimas, veiklos skaidrės</w:t>
                      </w:r>
                      <w:r w:rsidR="00F7158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(pakuočių tyrinėjimas, dizainas, įsivertinimas)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bei mokinio lapai</w:t>
                      </w:r>
                      <w:r w:rsidR="00F7158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3 lapai pakuočių tyrinėjimas, dizaino kūrimas ir įsivertinimas ir 1 lapas žaliavos ir džiovintų vaistažolių išvaizdos bei svorio palyginimas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6D6D08F0" w14:textId="5AE9CC85" w:rsidR="001262AD" w:rsidRDefault="001262AD" w:rsidP="001262AD">
                      <w:pPr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0730E9" w:rsidSect="00505083">
      <w:headerReference w:type="default" r:id="rId9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D7F8" w14:textId="77777777" w:rsidR="00CE0D4E" w:rsidRDefault="00CE0D4E" w:rsidP="000730E9">
      <w:pPr>
        <w:spacing w:after="0" w:line="240" w:lineRule="auto"/>
      </w:pPr>
      <w:r>
        <w:separator/>
      </w:r>
    </w:p>
  </w:endnote>
  <w:endnote w:type="continuationSeparator" w:id="0">
    <w:p w14:paraId="2B8856AB" w14:textId="77777777" w:rsidR="00CE0D4E" w:rsidRDefault="00CE0D4E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FDEF" w14:textId="77777777" w:rsidR="00CE0D4E" w:rsidRDefault="00CE0D4E" w:rsidP="000730E9">
      <w:pPr>
        <w:spacing w:after="0" w:line="240" w:lineRule="auto"/>
      </w:pPr>
      <w:r>
        <w:separator/>
      </w:r>
    </w:p>
  </w:footnote>
  <w:footnote w:type="continuationSeparator" w:id="0">
    <w:p w14:paraId="6614FF0C" w14:textId="77777777" w:rsidR="00CE0D4E" w:rsidRDefault="00CE0D4E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D842" w14:textId="5507F363" w:rsidR="006C2C44" w:rsidRDefault="000730E9">
    <w:pPr>
      <w:pStyle w:val="Header"/>
    </w:pPr>
    <w:bookmarkStart w:id="0" w:name="_Hlk156582163"/>
    <w:bookmarkStart w:id="1" w:name="_Hlk156582164"/>
    <w:r>
      <w:rPr>
        <w:noProof/>
      </w:rPr>
      <w:drawing>
        <wp:anchor distT="0" distB="0" distL="114300" distR="114300" simplePos="0" relativeHeight="251658240" behindDoc="1" locked="0" layoutInCell="1" allowOverlap="1" wp14:anchorId="0BBAD34C" wp14:editId="60A65B27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421">
      <w:rPr>
        <w:rFonts w:ascii="Aptos Narrow" w:hAnsi="Aptos Narrow"/>
        <w:b/>
        <w:bCs/>
        <w:color w:val="4472C4" w:themeColor="accent1"/>
        <w:sz w:val="36"/>
        <w:szCs w:val="36"/>
      </w:rPr>
      <w:t>6</w:t>
    </w:r>
    <w:r w:rsidR="004C0B57">
      <w:rPr>
        <w:rFonts w:ascii="Aptos Narrow" w:hAnsi="Aptos Narrow"/>
        <w:b/>
        <w:bCs/>
        <w:color w:val="4472C4" w:themeColor="accent1"/>
        <w:sz w:val="36"/>
        <w:szCs w:val="36"/>
      </w:rPr>
      <w:t xml:space="preserve"> (7)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ptab w:relativeTo="margin" w:alignment="center" w:leader="none"/>
    </w:r>
    <w:r w:rsidR="00F0621D"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A65421">
      <w:rPr>
        <w:rFonts w:ascii="Aptos Narrow" w:hAnsi="Aptos Narrow"/>
        <w:b/>
        <w:bCs/>
        <w:color w:val="4472C4" w:themeColor="accent1"/>
        <w:sz w:val="32"/>
        <w:szCs w:val="32"/>
      </w:rPr>
      <w:t>VAISTAŽOLĖS NUO...IKI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89146">
    <w:abstractNumId w:val="1"/>
  </w:num>
  <w:num w:numId="2" w16cid:durableId="11000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9"/>
    <w:rsid w:val="0001656D"/>
    <w:rsid w:val="0002232E"/>
    <w:rsid w:val="0006259B"/>
    <w:rsid w:val="000730E9"/>
    <w:rsid w:val="000A6495"/>
    <w:rsid w:val="000C6890"/>
    <w:rsid w:val="000F1F65"/>
    <w:rsid w:val="000F6C58"/>
    <w:rsid w:val="001055E7"/>
    <w:rsid w:val="0011135A"/>
    <w:rsid w:val="00113FC8"/>
    <w:rsid w:val="0011627D"/>
    <w:rsid w:val="001262AD"/>
    <w:rsid w:val="00146B62"/>
    <w:rsid w:val="001A1ECA"/>
    <w:rsid w:val="001C1BBC"/>
    <w:rsid w:val="001F5019"/>
    <w:rsid w:val="00212520"/>
    <w:rsid w:val="00226A27"/>
    <w:rsid w:val="00235C53"/>
    <w:rsid w:val="0029289B"/>
    <w:rsid w:val="002A58D7"/>
    <w:rsid w:val="002B60FD"/>
    <w:rsid w:val="002E01B3"/>
    <w:rsid w:val="002F0BDF"/>
    <w:rsid w:val="003A0756"/>
    <w:rsid w:val="003A2C2F"/>
    <w:rsid w:val="003A5343"/>
    <w:rsid w:val="003C09E7"/>
    <w:rsid w:val="003D2871"/>
    <w:rsid w:val="003E67D9"/>
    <w:rsid w:val="00427CED"/>
    <w:rsid w:val="004A6B4A"/>
    <w:rsid w:val="004C0B57"/>
    <w:rsid w:val="004F26F7"/>
    <w:rsid w:val="00505083"/>
    <w:rsid w:val="005370F0"/>
    <w:rsid w:val="00541EDC"/>
    <w:rsid w:val="00550DEC"/>
    <w:rsid w:val="005548C2"/>
    <w:rsid w:val="00554D1C"/>
    <w:rsid w:val="005570D2"/>
    <w:rsid w:val="005772FF"/>
    <w:rsid w:val="00590A8D"/>
    <w:rsid w:val="005C2AEE"/>
    <w:rsid w:val="005C70A4"/>
    <w:rsid w:val="005D0519"/>
    <w:rsid w:val="005F0983"/>
    <w:rsid w:val="00660512"/>
    <w:rsid w:val="00676107"/>
    <w:rsid w:val="00690CB4"/>
    <w:rsid w:val="00690FA0"/>
    <w:rsid w:val="0069798E"/>
    <w:rsid w:val="006B2B2A"/>
    <w:rsid w:val="006C2C44"/>
    <w:rsid w:val="006D5CFE"/>
    <w:rsid w:val="006D5E83"/>
    <w:rsid w:val="006F1235"/>
    <w:rsid w:val="00704B49"/>
    <w:rsid w:val="0071466C"/>
    <w:rsid w:val="00714829"/>
    <w:rsid w:val="00735658"/>
    <w:rsid w:val="007807DA"/>
    <w:rsid w:val="00783040"/>
    <w:rsid w:val="008070EB"/>
    <w:rsid w:val="00816578"/>
    <w:rsid w:val="0086169A"/>
    <w:rsid w:val="00885BE9"/>
    <w:rsid w:val="00892BC1"/>
    <w:rsid w:val="008A2ECC"/>
    <w:rsid w:val="008B2A2F"/>
    <w:rsid w:val="00926374"/>
    <w:rsid w:val="009375A9"/>
    <w:rsid w:val="0094472B"/>
    <w:rsid w:val="00976C94"/>
    <w:rsid w:val="00992796"/>
    <w:rsid w:val="0099464D"/>
    <w:rsid w:val="009B7462"/>
    <w:rsid w:val="009E0922"/>
    <w:rsid w:val="00A37231"/>
    <w:rsid w:val="00A414AA"/>
    <w:rsid w:val="00A64277"/>
    <w:rsid w:val="00A65421"/>
    <w:rsid w:val="00A9285A"/>
    <w:rsid w:val="00AC3151"/>
    <w:rsid w:val="00AD3EEA"/>
    <w:rsid w:val="00AD7506"/>
    <w:rsid w:val="00AF1475"/>
    <w:rsid w:val="00B02D5D"/>
    <w:rsid w:val="00B033F1"/>
    <w:rsid w:val="00B03DEA"/>
    <w:rsid w:val="00B82B69"/>
    <w:rsid w:val="00BB4A4A"/>
    <w:rsid w:val="00BC1FAC"/>
    <w:rsid w:val="00BC4700"/>
    <w:rsid w:val="00BC4DD1"/>
    <w:rsid w:val="00C10097"/>
    <w:rsid w:val="00C36409"/>
    <w:rsid w:val="00CB1795"/>
    <w:rsid w:val="00CC08FC"/>
    <w:rsid w:val="00CD53C9"/>
    <w:rsid w:val="00CD59FB"/>
    <w:rsid w:val="00CE0D4E"/>
    <w:rsid w:val="00CF72B0"/>
    <w:rsid w:val="00D2202D"/>
    <w:rsid w:val="00D64946"/>
    <w:rsid w:val="00DB50A4"/>
    <w:rsid w:val="00E26E4D"/>
    <w:rsid w:val="00E27F61"/>
    <w:rsid w:val="00E66C62"/>
    <w:rsid w:val="00EC0CB2"/>
    <w:rsid w:val="00EF08DD"/>
    <w:rsid w:val="00F0621D"/>
    <w:rsid w:val="00F457D0"/>
    <w:rsid w:val="00F63C74"/>
    <w:rsid w:val="00F7158C"/>
    <w:rsid w:val="00F774C5"/>
    <w:rsid w:val="00F9676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7C1C"/>
  <w15:chartTrackingRefBased/>
  <w15:docId w15:val="{4C0622E1-DE54-4A47-84A7-943B350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75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9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9"/>
    <w:rPr>
      <w:lang w:val="lt-LT"/>
    </w:rPr>
  </w:style>
  <w:style w:type="table" w:styleId="TableGrid">
    <w:name w:val="Table Grid"/>
    <w:basedOn w:val="TableNorma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Normal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147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3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033F1"/>
    <w:pPr>
      <w:ind w:left="720"/>
      <w:contextualSpacing/>
    </w:pPr>
    <w:rPr>
      <w:kern w:val="0"/>
      <w:lang w:val="en-GB"/>
      <w14:ligatures w14:val="none"/>
    </w:rPr>
  </w:style>
  <w:style w:type="paragraph" w:styleId="BodyText">
    <w:name w:val="Body Text"/>
    <w:basedOn w:val="Normal"/>
    <w:link w:val="BodyTextChar"/>
    <w:rsid w:val="00F774C5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kern w:val="0"/>
      <w:sz w:val="24"/>
      <w:szCs w:val="24"/>
      <w:lang w:val="en-US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F774C5"/>
    <w:rPr>
      <w:rFonts w:ascii="Liberation Serif" w:eastAsia="DejaVu Sans" w:hAnsi="Liberation Serif" w:cs="DejaVu Sans"/>
      <w:kern w:val="0"/>
      <w:sz w:val="24"/>
      <w:szCs w:val="24"/>
      <w:lang w:eastAsia="zh-CN" w:bidi="hi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02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GmlkO-k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V4ahvVZ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3</cp:revision>
  <cp:lastPrinted>2024-02-08T19:37:00Z</cp:lastPrinted>
  <dcterms:created xsi:type="dcterms:W3CDTF">2024-11-07T19:19:00Z</dcterms:created>
  <dcterms:modified xsi:type="dcterms:W3CDTF">2024-11-10T17:57:00Z</dcterms:modified>
</cp:coreProperties>
</file>